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2F2C4" w14:textId="77777777" w:rsidR="006E761B" w:rsidRDefault="006E761B" w:rsidP="006E7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61B">
        <w:rPr>
          <w:rFonts w:ascii="Times New Roman" w:hAnsi="Times New Roman" w:cs="Times New Roman"/>
          <w:sz w:val="28"/>
          <w:szCs w:val="28"/>
        </w:rPr>
        <w:t>ПОРЯДОК ЗАСТОСУВАННЯ КОЕФІЦІЄНТУ БОНУС-МАЛУС</w:t>
      </w:r>
    </w:p>
    <w:p w14:paraId="0F0F9D64" w14:textId="03FEFDE4" w:rsidR="00901BC3" w:rsidRPr="006E761B" w:rsidRDefault="00901BC3" w:rsidP="006E7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Редакція 2</w:t>
      </w:r>
    </w:p>
    <w:p w14:paraId="5BC4B4A0" w14:textId="77777777" w:rsidR="006E761B" w:rsidRPr="006E761B" w:rsidRDefault="006E761B" w:rsidP="006E7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6383572" w14:textId="44D37B68" w:rsidR="006E761B" w:rsidRPr="006E761B" w:rsidRDefault="006E761B" w:rsidP="006E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61B">
        <w:rPr>
          <w:rFonts w:ascii="Times New Roman" w:hAnsi="Times New Roman" w:cs="Times New Roman"/>
          <w:sz w:val="28"/>
          <w:szCs w:val="28"/>
        </w:rPr>
        <w:t>Керуючись пунктами 3 і 4 Розділу ІІ «Коригуючих коефіцієнтів та їх розмірів»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761B">
        <w:rPr>
          <w:rFonts w:ascii="Times New Roman" w:hAnsi="Times New Roman" w:cs="Times New Roman"/>
          <w:sz w:val="28"/>
          <w:szCs w:val="28"/>
        </w:rPr>
        <w:t>затверджених Розпорядженням Державної комісії з регулювання ринків фінансових послуг України від 09 липня 2010 року № 566 (у редакції розпорядження Національної комісії, що здійснює державне регулювання у сфері ринків фінансових послуг від 09 квітня 2019 року №538), зареєстровано в Міністерстві юстиції України 22 травня 2019 р. за № 544/33515,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761B">
        <w:rPr>
          <w:rFonts w:ascii="Times New Roman" w:hAnsi="Times New Roman" w:cs="Times New Roman"/>
          <w:sz w:val="28"/>
          <w:szCs w:val="28"/>
        </w:rPr>
        <w:t>інформуємо, що АТ «СГ «ТАС» (приватне) з 21.09.2019:</w:t>
      </w:r>
    </w:p>
    <w:p w14:paraId="75F7E28F" w14:textId="4CC2945C" w:rsidR="006E761B" w:rsidRPr="006E761B" w:rsidRDefault="006E761B" w:rsidP="006E7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61B">
        <w:rPr>
          <w:rFonts w:ascii="Times New Roman" w:hAnsi="Times New Roman" w:cs="Times New Roman"/>
          <w:sz w:val="28"/>
          <w:szCs w:val="28"/>
        </w:rPr>
        <w:t>1. При укладанні договорів ОСЦПВ з фізичними особами не</w:t>
      </w:r>
      <w:r w:rsidRPr="006E76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61B">
        <w:rPr>
          <w:rFonts w:ascii="Times New Roman" w:hAnsi="Times New Roman" w:cs="Times New Roman"/>
          <w:sz w:val="28"/>
          <w:szCs w:val="28"/>
        </w:rPr>
        <w:t>застосовує систему бонус-малус, тобто значення коефіцієнту</w:t>
      </w:r>
      <w:r w:rsidRPr="006E76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61B">
        <w:rPr>
          <w:rFonts w:ascii="Times New Roman" w:hAnsi="Times New Roman" w:cs="Times New Roman"/>
          <w:sz w:val="28"/>
          <w:szCs w:val="28"/>
        </w:rPr>
        <w:t>бонус-малус дорівнює одиниці.</w:t>
      </w:r>
    </w:p>
    <w:p w14:paraId="07D36F4F" w14:textId="4AAF364A" w:rsidR="002816EA" w:rsidRPr="00D951DE" w:rsidRDefault="006E761B" w:rsidP="006E7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61B">
        <w:rPr>
          <w:rFonts w:ascii="Times New Roman" w:hAnsi="Times New Roman" w:cs="Times New Roman"/>
          <w:sz w:val="28"/>
          <w:szCs w:val="28"/>
        </w:rPr>
        <w:t>2. При укладанні договорів ОСЦПВ з юридичними особами за умови</w:t>
      </w:r>
      <w:r w:rsidRPr="006E76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61B">
        <w:rPr>
          <w:rFonts w:ascii="Times New Roman" w:hAnsi="Times New Roman" w:cs="Times New Roman"/>
          <w:sz w:val="28"/>
          <w:szCs w:val="28"/>
        </w:rPr>
        <w:t>оголошення тендеру щодо надання послуг з ОСЦПВ залишає за</w:t>
      </w:r>
      <w:r w:rsidRPr="006E76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61B">
        <w:rPr>
          <w:rFonts w:ascii="Times New Roman" w:hAnsi="Times New Roman" w:cs="Times New Roman"/>
          <w:sz w:val="28"/>
          <w:szCs w:val="28"/>
        </w:rPr>
        <w:t>собою право використання системи бонус-малус згідно чинних</w:t>
      </w:r>
      <w:r w:rsidRPr="006E76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61B">
        <w:rPr>
          <w:rFonts w:ascii="Times New Roman" w:hAnsi="Times New Roman" w:cs="Times New Roman"/>
          <w:sz w:val="28"/>
          <w:szCs w:val="28"/>
        </w:rPr>
        <w:t>нормативно-правових актів.</w:t>
      </w:r>
    </w:p>
    <w:p w14:paraId="1EFE4C1D" w14:textId="77777777" w:rsidR="006E761B" w:rsidRPr="00D951DE" w:rsidRDefault="006E761B" w:rsidP="006E7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89BB98" w14:textId="0101DC7A" w:rsidR="006E761B" w:rsidRPr="00D951DE" w:rsidRDefault="007952D7" w:rsidP="00795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>На виконання  абзацу другого пункту шостого розділу шостого розділу VI. ПРИКІНЦЕВІ ТА ПЕРЕХІДНІ ПОЛОЖЕННЯ Закону України «Про обов’язкове страхування цивільно-правової відповідальності власників наземних транспортних засобів» від 21.05.2024 № 3720-ІХ: «На договори обов’язкового страхування цивільно-правової відповідальності, що укладені після набрання чинності цим Законом та набирають чинності після введення в дію цього Закону, поширюються вимоги цього Закону», з врахуванням суттєвих змін в умовах страхування</w:t>
      </w:r>
      <w:r w:rsidR="00D9226C" w:rsidRPr="00D951DE">
        <w:rPr>
          <w:rFonts w:ascii="Times New Roman" w:hAnsi="Times New Roman" w:cs="Times New Roman"/>
          <w:sz w:val="28"/>
          <w:szCs w:val="28"/>
        </w:rPr>
        <w:t xml:space="preserve"> та значного збільшення очікуваного рівня збитковості по таким полісам (в 1,6-2 рази)</w:t>
      </w:r>
      <w:r w:rsidRPr="00D951DE">
        <w:rPr>
          <w:rFonts w:ascii="Times New Roman" w:hAnsi="Times New Roman" w:cs="Times New Roman"/>
          <w:sz w:val="28"/>
          <w:szCs w:val="28"/>
        </w:rPr>
        <w:t xml:space="preserve">, </w:t>
      </w:r>
      <w:r w:rsidRPr="00D951DE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E761B" w:rsidRPr="00D951DE">
        <w:rPr>
          <w:rFonts w:ascii="Times New Roman" w:hAnsi="Times New Roman" w:cs="Times New Roman"/>
          <w:sz w:val="28"/>
          <w:szCs w:val="28"/>
          <w:u w:val="single"/>
        </w:rPr>
        <w:t>ри укладенні договорів страхуванн</w:t>
      </w:r>
      <w:r w:rsidR="00D6164D" w:rsidRPr="00D951DE">
        <w:rPr>
          <w:rFonts w:ascii="Times New Roman" w:hAnsi="Times New Roman" w:cs="Times New Roman"/>
          <w:sz w:val="28"/>
          <w:szCs w:val="28"/>
          <w:u w:val="single"/>
        </w:rPr>
        <w:t>я ОСЦПВ у період з 17.12.2024р. по 31.12.2024 року (включно)</w:t>
      </w:r>
      <w:r w:rsidR="006E761B" w:rsidRPr="00D951D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6164D" w:rsidRPr="00D951DE">
        <w:rPr>
          <w:rFonts w:ascii="Times New Roman" w:hAnsi="Times New Roman" w:cs="Times New Roman"/>
          <w:sz w:val="28"/>
          <w:szCs w:val="28"/>
          <w:u w:val="single"/>
        </w:rPr>
        <w:t xml:space="preserve">що починають діяти </w:t>
      </w:r>
      <w:r w:rsidRPr="00D951DE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r w:rsidR="00D6164D" w:rsidRPr="00D951DE">
        <w:rPr>
          <w:rFonts w:ascii="Times New Roman" w:hAnsi="Times New Roman" w:cs="Times New Roman"/>
          <w:sz w:val="28"/>
          <w:szCs w:val="28"/>
          <w:u w:val="single"/>
        </w:rPr>
        <w:t>2025р.</w:t>
      </w:r>
      <w:r w:rsidR="00205114" w:rsidRPr="00D951D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6164D" w:rsidRPr="00D951DE">
        <w:rPr>
          <w:rFonts w:ascii="Times New Roman" w:hAnsi="Times New Roman" w:cs="Times New Roman"/>
          <w:sz w:val="28"/>
          <w:szCs w:val="28"/>
          <w:u w:val="single"/>
        </w:rPr>
        <w:t xml:space="preserve"> визначити особливий порядок застосування коефіцієнту </w:t>
      </w:r>
      <w:r w:rsidRPr="00D951DE">
        <w:rPr>
          <w:rFonts w:ascii="Times New Roman" w:hAnsi="Times New Roman" w:cs="Times New Roman"/>
          <w:sz w:val="28"/>
          <w:szCs w:val="28"/>
          <w:u w:val="single"/>
        </w:rPr>
        <w:t>бонус</w:t>
      </w:r>
      <w:r w:rsidR="00D6164D" w:rsidRPr="00D951DE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951DE">
        <w:rPr>
          <w:rFonts w:ascii="Times New Roman" w:hAnsi="Times New Roman" w:cs="Times New Roman"/>
          <w:sz w:val="28"/>
          <w:szCs w:val="28"/>
          <w:u w:val="single"/>
        </w:rPr>
        <w:t>малус:</w:t>
      </w:r>
      <w:r w:rsidR="00D6164D" w:rsidRPr="00D951DE">
        <w:rPr>
          <w:rFonts w:ascii="Helv" w:hAnsi="Helv" w:cs="Helv"/>
          <w:color w:val="000000"/>
          <w:kern w:val="0"/>
          <w:sz w:val="20"/>
          <w:szCs w:val="20"/>
          <w:u w:val="single"/>
        </w:rPr>
        <w:t xml:space="preserve"> </w:t>
      </w:r>
    </w:p>
    <w:p w14:paraId="544AE7C8" w14:textId="0C4C21E6" w:rsidR="007952D7" w:rsidRPr="006E761B" w:rsidRDefault="007952D7" w:rsidP="00795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 xml:space="preserve">1. При укладанні договорів ОСЦПВ АТ «СГ «ТАС» (приватне) застосовує систему бонус-малус, для всіх </w:t>
      </w:r>
      <w:r w:rsidR="006B4018" w:rsidRPr="00D951DE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D951DE">
        <w:rPr>
          <w:rFonts w:ascii="Times New Roman" w:hAnsi="Times New Roman" w:cs="Times New Roman"/>
          <w:sz w:val="28"/>
          <w:szCs w:val="28"/>
        </w:rPr>
        <w:t>договорів та присвоюється клас 0, що відповідає коефіцієнту 1,6.</w:t>
      </w:r>
    </w:p>
    <w:sectPr w:rsidR="007952D7" w:rsidRPr="006E7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1B"/>
    <w:rsid w:val="00205114"/>
    <w:rsid w:val="002816EA"/>
    <w:rsid w:val="00411D0F"/>
    <w:rsid w:val="006B4018"/>
    <w:rsid w:val="006E761B"/>
    <w:rsid w:val="007952D7"/>
    <w:rsid w:val="00901BC3"/>
    <w:rsid w:val="0095143D"/>
    <w:rsid w:val="00D6164D"/>
    <w:rsid w:val="00D87FF1"/>
    <w:rsid w:val="00D9226C"/>
    <w:rsid w:val="00D951DE"/>
    <w:rsid w:val="00F3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48E7"/>
  <w15:chartTrackingRefBased/>
  <w15:docId w15:val="{73C1D966-053C-4A29-B4FB-BA3C8968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6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7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7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76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76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76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76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76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76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7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E7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E7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E7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E7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77F7-6114-4326-AAA6-DF7528F2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ТАС</dc:creator>
  <cp:keywords/>
  <dc:description/>
  <cp:lastModifiedBy>Ольга ТАС</cp:lastModifiedBy>
  <cp:revision>3</cp:revision>
  <dcterms:created xsi:type="dcterms:W3CDTF">2024-12-16T07:29:00Z</dcterms:created>
  <dcterms:modified xsi:type="dcterms:W3CDTF">2024-12-16T10:20:00Z</dcterms:modified>
</cp:coreProperties>
</file>